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DB" w:rsidRPr="009362DB" w:rsidRDefault="009362DB" w:rsidP="009362DB">
      <w:pPr>
        <w:spacing w:after="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smallCaps/>
          <w:color w:val="000000"/>
        </w:rPr>
        <w:t>                                                            GUIDELINES TO AUTHORS</w:t>
      </w:r>
    </w:p>
    <w:p w:rsidR="009362DB" w:rsidRPr="009362DB" w:rsidRDefault="009362DB" w:rsidP="009362DB">
      <w:pPr>
        <w:spacing w:after="0" w:line="240" w:lineRule="auto"/>
        <w:rPr>
          <w:rFonts w:ascii="Times New Roman" w:eastAsia="Times New Roman" w:hAnsi="Times New Roman" w:cs="Times New Roman"/>
          <w:sz w:val="24"/>
          <w:szCs w:val="24"/>
        </w:rPr>
      </w:pP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 xml:space="preserve">PHYTOMORPHOLOGY is published half-yearly by the International Society of Plant Morphologists (ISPM). The Journal publishes original research articles, invited reviews, etc., in all areas of </w:t>
      </w:r>
      <w:r w:rsidRPr="009362DB">
        <w:rPr>
          <w:rFonts w:ascii="Times New Roman" w:eastAsia="Times New Roman" w:hAnsi="Times New Roman" w:cs="Times New Roman"/>
          <w:b/>
          <w:bCs/>
          <w:color w:val="000000"/>
        </w:rPr>
        <w:t>Plant Sciences</w:t>
      </w:r>
      <w:r w:rsidRPr="009362DB">
        <w:rPr>
          <w:rFonts w:ascii="Times New Roman" w:eastAsia="Times New Roman" w:hAnsi="Times New Roman" w:cs="Times New Roman"/>
          <w:color w:val="000000"/>
        </w:rPr>
        <w:t>. Authors (both the corresponding and co-authors) must be members of the ISPM and should quote their membership details (annual-year/life-year). Authors may send their MS either to the Editor-in-Chief in Delhi or to a Member of the Editorial Board who represents the author’s broad area of research. The maximum length of the article is restricted to eight printed pages of PHYTOMORPHOLOGY including not more than three plates of illustrations. One page of PHYTOMORPHOLOGY accommodates nearly 1000 words. Authors who are submitting their illustrations in colour should specify that they wish to publish colour plates if accepted and willing to pay the costs as applicable. Authors who are not willing to pay the colour plate charges should supply high contrast black and white illustrations only with their manuscripts. All copyright issues should be taken care by the authors before submitting the manuscripts.</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color w:val="000000"/>
        </w:rPr>
        <w:t>Preparation of Manuscripts</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The manuscripts should be prepared only in English. Manuscripts should follow a standard page layout only A-4 size, minimum 2.5 cm margin on all the four sides, and double line spacing. The text should be carefully checked for typographical errors, especially numerals and diacritical marks in words from different languages. British spellings are preferred. However, there should be uniformity throughout the text.</w:t>
      </w:r>
    </w:p>
    <w:p w:rsidR="009362DB" w:rsidRPr="009362DB" w:rsidRDefault="009362DB" w:rsidP="009362DB">
      <w:pPr>
        <w:spacing w:after="200" w:line="240" w:lineRule="auto"/>
        <w:ind w:firstLine="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The title page should comprise: the full title of the paper, initials and surname(s) of author(s), name of the laboratory where the work was carried out, and the address to which all correspondence concerning the manuscript should be made. Please add telephone (office and mobile) and fax number(s) as well as e-mail address of the corresponding author. A short running title may be suggested by the authors. An Abstract should be placed before the Introduction. No Summary is required at the end of the paper. The abstract should include information on the question addressed, objectives, study area (as relevant), methods, results and major conclusions. Up to eight keywords, not repeated from the title of the paper, should be placed after the Abstract. All acknowledgements should be put at the end before References.</w:t>
      </w:r>
    </w:p>
    <w:p w:rsidR="009362DB" w:rsidRPr="009362DB" w:rsidRDefault="009362DB" w:rsidP="009362DB">
      <w:pPr>
        <w:spacing w:after="200" w:line="240" w:lineRule="auto"/>
        <w:ind w:firstLine="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The main text of the paper should start from a new page. It should be reasonably subdivided into sections (Introduction, Material and methods, Results, Discussion and, if necessary, subsections. Pages and lines should be numbered (tools available in word processing programmes).</w:t>
      </w:r>
    </w:p>
    <w:p w:rsidR="009362DB" w:rsidRPr="009362DB" w:rsidRDefault="009362DB" w:rsidP="009362DB">
      <w:pPr>
        <w:spacing w:after="200" w:line="240" w:lineRule="auto"/>
        <w:ind w:firstLine="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No part of the manuscript should be underlined except for Latin names of organisms (genera and species). No word or phrase (except the standard conventional ones) should be abbreviated. However, if abbreviations are absolutely necessary, they should be placed in parentheses after the words/phrases when these appear first in the text. The tables should be typed on separate sheets and numbered consecutively. Each table should be provided with a short title. The basis for the nomenclature of taxa should be indicated in the Material and methods section. All diagrams, graphs and photographs should be referred to in the text as figure (Fig.), and numbered consecutively Each figure should be provided a detailed legend and all legends should be compiled on a separate sheet.</w:t>
      </w:r>
    </w:p>
    <w:p w:rsidR="009362DB" w:rsidRPr="009362DB" w:rsidRDefault="009362DB" w:rsidP="009362DB">
      <w:pPr>
        <w:spacing w:after="200" w:line="240" w:lineRule="auto"/>
        <w:ind w:firstLine="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Only metric units (S.I. Units) should be used. Other units may be given in parentheses only if absolutely necessary. Abbreviations of units are same for the singular and plural, and are never followed by a period. Mathematical symbols may be either handwritten or typewritten. Greek letters and unusual symbols should be identified separately in the margin. Distinction should be made between confusing letters like letter O and zero (0); between the letter l, the number one and prime (N); between K and kappa.</w:t>
      </w:r>
    </w:p>
    <w:p w:rsidR="009362DB" w:rsidRPr="009362DB" w:rsidRDefault="009362DB" w:rsidP="009362DB">
      <w:pPr>
        <w:spacing w:after="200" w:line="240" w:lineRule="auto"/>
        <w:ind w:firstLine="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 xml:space="preserve">References to literature should be given in the text by the author’s name and year: e.g. Tansley (1935), Kavitha and Shivamurthy (2008), Gaumat et al. (2008) when forming part of a sentence and (Tansley, 1935; </w:t>
      </w:r>
      <w:r w:rsidRPr="009362DB">
        <w:rPr>
          <w:rFonts w:ascii="Times New Roman" w:eastAsia="Times New Roman" w:hAnsi="Times New Roman" w:cs="Times New Roman"/>
          <w:color w:val="000000"/>
        </w:rPr>
        <w:lastRenderedPageBreak/>
        <w:t>Kavitha &amp; Shivamurthy, 2008; Gaumat et al., 2008) when forming an addition to a sentence. If a paper has three or more authors, then it should be referred to by the surname of the first author followed by et al. References at the end of the paper should list, in alphabetical order under the first author’s name, all works referred to in the text. These should include the names of all authors/ editors, full title of the paper, unabbreviated title of the journals, and the name and place of the publisher, and total number of pages in case of books, collective volumes and Proceedings.</w:t>
      </w:r>
    </w:p>
    <w:p w:rsidR="009362DB" w:rsidRPr="009362DB" w:rsidRDefault="009362DB" w:rsidP="009362DB">
      <w:pPr>
        <w:spacing w:after="200" w:line="240" w:lineRule="auto"/>
        <w:ind w:left="360" w:hanging="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Corner, E.J.H. 1953. The Durian theory extended – I. Phytomorphology, 3: 465-476.</w:t>
      </w:r>
    </w:p>
    <w:p w:rsidR="009362DB" w:rsidRPr="009362DB" w:rsidRDefault="009362DB" w:rsidP="009362DB">
      <w:pPr>
        <w:spacing w:after="200" w:line="240" w:lineRule="auto"/>
        <w:ind w:left="360" w:right="180" w:hanging="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Fisher, D.B. &amp; Wang, N. 1993. A kinetic and autoradiographic analysis of [</w:t>
      </w:r>
      <w:r w:rsidRPr="009362DB">
        <w:rPr>
          <w:rFonts w:ascii="Times New Roman" w:eastAsia="Times New Roman" w:hAnsi="Times New Roman" w:cs="Times New Roman"/>
          <w:color w:val="000000"/>
          <w:sz w:val="13"/>
          <w:szCs w:val="13"/>
          <w:vertAlign w:val="superscript"/>
        </w:rPr>
        <w:t>14</w:t>
      </w:r>
      <w:r w:rsidRPr="009362DB">
        <w:rPr>
          <w:rFonts w:ascii="Times New Roman" w:eastAsia="Times New Roman" w:hAnsi="Times New Roman" w:cs="Times New Roman"/>
          <w:color w:val="000000"/>
        </w:rPr>
        <w:t>C] sucrose import by developing wheat grains. Plant Physiology</w:t>
      </w:r>
      <w:r w:rsidRPr="009362DB">
        <w:rPr>
          <w:rFonts w:ascii="Times New Roman" w:eastAsia="Times New Roman" w:hAnsi="Times New Roman" w:cs="Times New Roman"/>
          <w:i/>
          <w:iCs/>
          <w:color w:val="000000"/>
        </w:rPr>
        <w:t>,</w:t>
      </w:r>
      <w:r w:rsidRPr="009362DB">
        <w:rPr>
          <w:rFonts w:ascii="Times New Roman" w:eastAsia="Times New Roman" w:hAnsi="Times New Roman" w:cs="Times New Roman"/>
          <w:color w:val="000000"/>
        </w:rPr>
        <w:t xml:space="preserve"> 101: 391-398.</w:t>
      </w:r>
    </w:p>
    <w:p w:rsidR="009362DB" w:rsidRPr="009362DB" w:rsidRDefault="009362DB" w:rsidP="009362DB">
      <w:pPr>
        <w:spacing w:after="200" w:line="240" w:lineRule="auto"/>
        <w:ind w:left="360" w:right="180" w:hanging="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Kobayashi, S., Ohgawara, T., Fujiwara, K. &amp; Oiyama, I. 1991. Analysis of cytoplasmic genomes in somatic hybrids between navel orange (</w:t>
      </w:r>
      <w:r w:rsidRPr="009362DB">
        <w:rPr>
          <w:rFonts w:ascii="Times New Roman" w:eastAsia="Times New Roman" w:hAnsi="Times New Roman" w:cs="Times New Roman"/>
          <w:i/>
          <w:iCs/>
          <w:color w:val="000000"/>
        </w:rPr>
        <w:t>Citrus sinensis</w:t>
      </w:r>
      <w:r w:rsidRPr="009362DB">
        <w:rPr>
          <w:rFonts w:ascii="Times New Roman" w:eastAsia="Times New Roman" w:hAnsi="Times New Roman" w:cs="Times New Roman"/>
          <w:color w:val="000000"/>
        </w:rPr>
        <w:t xml:space="preserve"> Osb.) and “Murcott” tangor. Theoretical and Applied Genetics, 82: 6-10.</w:t>
      </w:r>
    </w:p>
    <w:p w:rsidR="009362DB" w:rsidRPr="009362DB" w:rsidRDefault="009362DB" w:rsidP="009362DB">
      <w:pPr>
        <w:spacing w:after="200" w:line="240" w:lineRule="auto"/>
        <w:ind w:left="360" w:hanging="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Mani, M.S. 1973. Plant Galls of India. MacMillan, New Delhi, India, 175 pp.</w:t>
      </w:r>
    </w:p>
    <w:p w:rsidR="009362DB" w:rsidRPr="009362DB" w:rsidRDefault="009362DB" w:rsidP="009362DB">
      <w:pPr>
        <w:spacing w:after="200" w:line="240" w:lineRule="auto"/>
        <w:ind w:left="360" w:right="180" w:hanging="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 xml:space="preserve">Rowley, J.R. 1964. Formation of the pore in pollen of </w:t>
      </w:r>
      <w:r w:rsidRPr="009362DB">
        <w:rPr>
          <w:rFonts w:ascii="Times New Roman" w:eastAsia="Times New Roman" w:hAnsi="Times New Roman" w:cs="Times New Roman"/>
          <w:i/>
          <w:iCs/>
          <w:color w:val="000000"/>
        </w:rPr>
        <w:t>Poa</w:t>
      </w:r>
      <w:r w:rsidRPr="009362DB">
        <w:rPr>
          <w:rFonts w:ascii="Times New Roman" w:eastAsia="Times New Roman" w:hAnsi="Times New Roman" w:cs="Times New Roman"/>
          <w:color w:val="000000"/>
        </w:rPr>
        <w:t xml:space="preserve"> </w:t>
      </w:r>
      <w:r w:rsidRPr="009362DB">
        <w:rPr>
          <w:rFonts w:ascii="Times New Roman" w:eastAsia="Times New Roman" w:hAnsi="Times New Roman" w:cs="Times New Roman"/>
          <w:i/>
          <w:iCs/>
          <w:color w:val="000000"/>
        </w:rPr>
        <w:t>annua</w:t>
      </w:r>
      <w:r w:rsidRPr="009362DB">
        <w:rPr>
          <w:rFonts w:ascii="Times New Roman" w:eastAsia="Times New Roman" w:hAnsi="Times New Roman" w:cs="Times New Roman"/>
          <w:color w:val="000000"/>
        </w:rPr>
        <w:t>. In: Pollen Physiology and Fertilization. Linskens, H.F. ed. North-Holland Publishing Company, Amsterdam, The Netherlands, 59-69 pp.</w:t>
      </w:r>
    </w:p>
    <w:p w:rsidR="009362DB" w:rsidRPr="009362DB" w:rsidRDefault="009362DB" w:rsidP="009362DB">
      <w:pPr>
        <w:spacing w:after="200" w:line="240" w:lineRule="auto"/>
        <w:ind w:left="360" w:right="180" w:hanging="3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Stewart Jr., C.N. (ed.) 2008. Plant Biotechnology and Genetics. Wiley, NJ, USA, 374 pp.</w:t>
      </w:r>
    </w:p>
    <w:p w:rsidR="009362DB" w:rsidRPr="009362DB" w:rsidRDefault="009362DB" w:rsidP="009362DB">
      <w:pPr>
        <w:spacing w:after="200" w:line="240" w:lineRule="auto"/>
        <w:ind w:right="18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Please note that it is the author’s responsibility to obtain written permission to quote copyrighted material, which has appeared in another publication.</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i/>
          <w:iCs/>
          <w:color w:val="000000"/>
        </w:rPr>
        <w:t>If Figures are Prepared by Hand</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Line drawings should be drawn in India ink only. All inscriptions should be large enough to stand sufficient reduction. Scan them at a high resolution (at least 600 DPI) and save as graphic files (JPG, TIFF, PIC, EPS, PNG formats only).</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i/>
          <w:iCs/>
          <w:color w:val="000000"/>
        </w:rPr>
        <w:t>If Figures are Prepared on Computer</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Save figures individually as graphic files (JPG, TIFF, PIC, EPS, PNG formats only). Original graphics files may be sent to the printer for reformatting them to ensure good reproduction. Photographs should be submitted as JPG files only.</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i/>
          <w:iCs/>
          <w:color w:val="000000"/>
        </w:rPr>
        <w:t>Naming Text and Graphic Files</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 xml:space="preserve">Files submitted (word processing graphic files) should be named such that they can be readily identified with the author(s) and/or title of the paper. Names such as text.doc, paper.doc or figure.jpg are NOT acceptable. </w:t>
      </w:r>
    </w:p>
    <w:p w:rsidR="009362DB" w:rsidRPr="009362DB" w:rsidRDefault="009362DB" w:rsidP="009362DB">
      <w:pPr>
        <w:spacing w:after="240" w:line="240" w:lineRule="auto"/>
        <w:rPr>
          <w:rFonts w:ascii="Times New Roman" w:eastAsia="Times New Roman" w:hAnsi="Times New Roman" w:cs="Times New Roman"/>
          <w:sz w:val="24"/>
          <w:szCs w:val="24"/>
        </w:rPr>
      </w:pP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color w:val="000000"/>
        </w:rPr>
        <w:t>Submission</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Manuscripts and other material intended for publication in PHYTOMORPHOLOGY are to be submitted electronically to phytomorphology@gmail.com. Text files must be prepared using MS-Word 97. If using later versions please save in the MS-Word 97 format. In case the manuscript cannot be submitted by e-mail, a copy on CD-ROM must be sent together with a hard copy.</w:t>
      </w:r>
    </w:p>
    <w:p w:rsidR="009362DB" w:rsidRPr="009362DB" w:rsidRDefault="009362DB" w:rsidP="009362DB">
      <w:pPr>
        <w:spacing w:after="200" w:line="240" w:lineRule="auto"/>
        <w:ind w:firstLine="426"/>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lastRenderedPageBreak/>
        <w:t>The data and opinions appearing in the article are the sole responsibility of the concerned author (s). Accordingly, the Publisher, the Editorial Board and the Editor accept no responsibility or liability what so ever for the consequences of any such inaccurate, misleading or copied data, opinion or statement, and no corrigendum in such case will be published in the Journal.</w:t>
      </w:r>
      <w:r w:rsidRPr="009362DB">
        <w:rPr>
          <w:rFonts w:ascii="Times New Roman" w:eastAsia="Times New Roman" w:hAnsi="Times New Roman" w:cs="Times New Roman"/>
          <w:color w:val="000000"/>
        </w:rPr>
        <w:tab/>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color w:val="000000"/>
        </w:rPr>
        <w:t>Proofs and Reprints</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 xml:space="preserve">Page proofs of the accepted manuscripts are sent as PDF file(s) only to the corresponding author by e-mail. The corrections should be communicated to the Editor without delay. Alterations in the proofs, other than those necessitated by the printer’s errors, should be kept to the minimum. There are </w:t>
      </w:r>
      <w:r w:rsidRPr="009362DB">
        <w:rPr>
          <w:rFonts w:ascii="Times New Roman" w:eastAsia="Times New Roman" w:hAnsi="Times New Roman" w:cs="Times New Roman"/>
          <w:b/>
          <w:bCs/>
          <w:color w:val="000000"/>
        </w:rPr>
        <w:t>no gratis</w:t>
      </w:r>
      <w:r w:rsidRPr="009362DB">
        <w:rPr>
          <w:rFonts w:ascii="Times New Roman" w:eastAsia="Times New Roman" w:hAnsi="Times New Roman" w:cs="Times New Roman"/>
          <w:color w:val="000000"/>
        </w:rPr>
        <w:t xml:space="preserve"> reprints. Authors of published papers need to pay for the 50 reprints/pdf copy. Additional reprints requirement, in multiples of 50, should be specified while returning the corrected page proofs and reprint order form to the Editor.</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color w:val="000000"/>
        </w:rPr>
        <w:t>Book Reviews</w:t>
      </w:r>
    </w:p>
    <w:p w:rsidR="009362DB" w:rsidRPr="009362DB" w:rsidRDefault="009362DB" w:rsidP="009362DB">
      <w:pPr>
        <w:spacing w:after="200" w:line="240" w:lineRule="auto"/>
        <w:ind w:right="1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Authors and publishers who wish to submit their publications for review in the Journal should submit two copies of the publication to the Editor at Delhi.</w:t>
      </w:r>
    </w:p>
    <w:p w:rsidR="009362DB" w:rsidRPr="009362DB" w:rsidRDefault="009362DB" w:rsidP="009362DB">
      <w:pPr>
        <w:spacing w:after="200" w:line="240" w:lineRule="auto"/>
        <w:jc w:val="both"/>
        <w:rPr>
          <w:rFonts w:ascii="Times New Roman" w:eastAsia="Times New Roman" w:hAnsi="Times New Roman" w:cs="Times New Roman"/>
          <w:sz w:val="24"/>
          <w:szCs w:val="24"/>
        </w:rPr>
      </w:pPr>
      <w:r w:rsidRPr="009362DB">
        <w:rPr>
          <w:rFonts w:ascii="Times New Roman" w:eastAsia="Times New Roman" w:hAnsi="Times New Roman" w:cs="Times New Roman"/>
          <w:b/>
          <w:bCs/>
          <w:color w:val="000000"/>
        </w:rPr>
        <w:t>Miscellaneous</w:t>
      </w:r>
    </w:p>
    <w:p w:rsidR="009362DB" w:rsidRPr="009362DB" w:rsidRDefault="009362DB" w:rsidP="009362DB">
      <w:pPr>
        <w:spacing w:after="200" w:line="240" w:lineRule="auto"/>
        <w:ind w:right="160"/>
        <w:jc w:val="both"/>
        <w:rPr>
          <w:rFonts w:ascii="Times New Roman" w:eastAsia="Times New Roman" w:hAnsi="Times New Roman" w:cs="Times New Roman"/>
          <w:sz w:val="24"/>
          <w:szCs w:val="24"/>
        </w:rPr>
      </w:pPr>
      <w:r w:rsidRPr="009362DB">
        <w:rPr>
          <w:rFonts w:ascii="Times New Roman" w:eastAsia="Times New Roman" w:hAnsi="Times New Roman" w:cs="Times New Roman"/>
          <w:color w:val="000000"/>
        </w:rPr>
        <w:t xml:space="preserve">The authors are required to pay the costs of reproduction of colour plates and reprints. Manuscripts and Figures submitted are </w:t>
      </w:r>
      <w:r w:rsidRPr="009362DB">
        <w:rPr>
          <w:rFonts w:ascii="Times New Roman" w:eastAsia="Times New Roman" w:hAnsi="Times New Roman" w:cs="Times New Roman"/>
          <w:b/>
          <w:bCs/>
          <w:color w:val="000000"/>
        </w:rPr>
        <w:t>NOT</w:t>
      </w:r>
      <w:r w:rsidRPr="009362DB">
        <w:rPr>
          <w:rFonts w:ascii="Times New Roman" w:eastAsia="Times New Roman" w:hAnsi="Times New Roman" w:cs="Times New Roman"/>
          <w:color w:val="000000"/>
        </w:rPr>
        <w:t xml:space="preserve"> returned. The copyright of published papers is vested with the publisher. The authors of accepted contributions will be asked to formally sign an agreement to transfer the copyright to the publisher (ISPM).</w:t>
      </w:r>
    </w:p>
    <w:p w:rsidR="00986400" w:rsidRDefault="00986400">
      <w:bookmarkStart w:id="0" w:name="_GoBack"/>
      <w:bookmarkEnd w:id="0"/>
    </w:p>
    <w:sectPr w:rsidR="00986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30"/>
    <w:rsid w:val="009362DB"/>
    <w:rsid w:val="00986400"/>
    <w:rsid w:val="00E8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7B45-4230-4197-B3EE-74C7CDB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2016-07-15T03:00:00Z</dcterms:created>
  <dcterms:modified xsi:type="dcterms:W3CDTF">2016-07-15T03:00:00Z</dcterms:modified>
</cp:coreProperties>
</file>